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02" w:rsidRPr="00D00E72" w:rsidRDefault="000E7CDD" w:rsidP="0079141C">
      <w:pPr>
        <w:keepNext/>
        <w:keepLines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</w:t>
      </w:r>
      <w:r w:rsidR="00D00E72">
        <w:rPr>
          <w:rFonts w:ascii="Times New Roman" w:hAnsi="Times New Roman"/>
          <w:sz w:val="24"/>
          <w:szCs w:val="24"/>
        </w:rPr>
        <w:t xml:space="preserve">                 </w:t>
      </w:r>
      <w:r w:rsidR="00712F02" w:rsidRPr="00D00E72">
        <w:rPr>
          <w:rFonts w:ascii="Times New Roman" w:hAnsi="Times New Roman"/>
          <w:sz w:val="24"/>
          <w:szCs w:val="24"/>
        </w:rPr>
        <w:t xml:space="preserve">Приложение </w:t>
      </w:r>
      <w:r w:rsidR="00D07965" w:rsidRPr="00D00E72">
        <w:rPr>
          <w:rFonts w:ascii="Times New Roman" w:hAnsi="Times New Roman"/>
          <w:sz w:val="24"/>
          <w:szCs w:val="24"/>
        </w:rPr>
        <w:t>5</w:t>
      </w:r>
    </w:p>
    <w:p w:rsidR="00F3017A" w:rsidRPr="00D00E72" w:rsidRDefault="0000545A" w:rsidP="00D00E72">
      <w:pPr>
        <w:keepNext/>
        <w:keepLines/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/>
          <w:sz w:val="24"/>
          <w:szCs w:val="24"/>
        </w:rPr>
      </w:pPr>
      <w:r w:rsidRPr="00D00E72">
        <w:rPr>
          <w:rFonts w:ascii="Times New Roman" w:hAnsi="Times New Roman"/>
          <w:sz w:val="24"/>
          <w:szCs w:val="24"/>
        </w:rPr>
        <w:t xml:space="preserve">к учетной политике </w:t>
      </w:r>
      <w:r w:rsidR="00D00E72" w:rsidRPr="00D00E72">
        <w:rPr>
          <w:rFonts w:ascii="Times New Roman" w:hAnsi="Times New Roman"/>
          <w:sz w:val="24"/>
          <w:szCs w:val="24"/>
        </w:rPr>
        <w:t>МБОУ «Средняя общеобразовательная школа № 5</w:t>
      </w:r>
      <w:r w:rsidR="003E61B5">
        <w:rPr>
          <w:rFonts w:ascii="Times New Roman" w:hAnsi="Times New Roman"/>
          <w:sz w:val="24"/>
          <w:szCs w:val="24"/>
        </w:rPr>
        <w:t>0</w:t>
      </w:r>
      <w:r w:rsidR="00D00E72" w:rsidRPr="00D00E72">
        <w:rPr>
          <w:rFonts w:ascii="Times New Roman" w:hAnsi="Times New Roman"/>
          <w:sz w:val="24"/>
          <w:szCs w:val="24"/>
        </w:rPr>
        <w:t xml:space="preserve"> им</w:t>
      </w:r>
      <w:r w:rsidR="003E61B5">
        <w:rPr>
          <w:rFonts w:ascii="Times New Roman" w:hAnsi="Times New Roman"/>
          <w:sz w:val="24"/>
          <w:szCs w:val="24"/>
        </w:rPr>
        <w:t>.</w:t>
      </w:r>
      <w:r w:rsidR="00D00E72" w:rsidRPr="00D00E72">
        <w:rPr>
          <w:rFonts w:ascii="Times New Roman" w:hAnsi="Times New Roman"/>
          <w:sz w:val="24"/>
          <w:szCs w:val="24"/>
        </w:rPr>
        <w:t xml:space="preserve"> </w:t>
      </w:r>
      <w:r w:rsidR="003E61B5">
        <w:rPr>
          <w:rFonts w:ascii="Times New Roman" w:hAnsi="Times New Roman"/>
          <w:sz w:val="24"/>
          <w:szCs w:val="24"/>
        </w:rPr>
        <w:t>Ю.А. Гагарина</w:t>
      </w:r>
      <w:r w:rsidR="00D00E72" w:rsidRPr="00D00E72">
        <w:rPr>
          <w:rFonts w:ascii="Times New Roman" w:hAnsi="Times New Roman"/>
          <w:sz w:val="24"/>
          <w:szCs w:val="24"/>
        </w:rPr>
        <w:t>», действующей с 01.01.202</w:t>
      </w:r>
      <w:r w:rsidR="00A253BA">
        <w:rPr>
          <w:rFonts w:ascii="Times New Roman" w:hAnsi="Times New Roman"/>
          <w:sz w:val="24"/>
          <w:szCs w:val="24"/>
        </w:rPr>
        <w:t>3</w:t>
      </w:r>
      <w:r w:rsidR="00D00E72" w:rsidRPr="00D00E72">
        <w:rPr>
          <w:rFonts w:ascii="Times New Roman" w:hAnsi="Times New Roman"/>
          <w:sz w:val="24"/>
          <w:szCs w:val="24"/>
        </w:rPr>
        <w:t xml:space="preserve"> г.</w:t>
      </w:r>
    </w:p>
    <w:p w:rsidR="00245159" w:rsidRPr="00F802D3" w:rsidRDefault="00245159" w:rsidP="0098104D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017A" w:rsidRPr="00F802D3" w:rsidRDefault="00712F02" w:rsidP="0098104D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802D3">
        <w:rPr>
          <w:rFonts w:ascii="Times New Roman" w:hAnsi="Times New Roman"/>
          <w:bCs/>
          <w:sz w:val="24"/>
          <w:szCs w:val="24"/>
        </w:rPr>
        <w:t xml:space="preserve">Положение </w:t>
      </w:r>
    </w:p>
    <w:p w:rsidR="00712F02" w:rsidRPr="00F802D3" w:rsidRDefault="00712F02" w:rsidP="0098104D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02D3">
        <w:rPr>
          <w:rFonts w:ascii="Times New Roman" w:hAnsi="Times New Roman"/>
          <w:bCs/>
          <w:sz w:val="24"/>
          <w:szCs w:val="24"/>
        </w:rPr>
        <w:t>о комиссии по поступлению и выбытию активов</w:t>
      </w:r>
    </w:p>
    <w:p w:rsidR="00712F02" w:rsidRPr="00F802D3" w:rsidRDefault="00712F02" w:rsidP="0098104D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12F02" w:rsidRPr="00F802D3" w:rsidRDefault="00712F02" w:rsidP="009912AE">
      <w:pPr>
        <w:keepNext/>
        <w:keepLines/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802D3">
        <w:rPr>
          <w:rFonts w:ascii="Times New Roman" w:hAnsi="Times New Roman"/>
          <w:bCs/>
          <w:sz w:val="24"/>
          <w:szCs w:val="24"/>
        </w:rPr>
        <w:t>1. Общие положения</w:t>
      </w:r>
    </w:p>
    <w:p w:rsidR="00712F02" w:rsidRPr="00F802D3" w:rsidRDefault="00712F02" w:rsidP="0098104D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2F02" w:rsidRPr="00F802D3" w:rsidRDefault="00712F02" w:rsidP="00694BAE">
      <w:pPr>
        <w:pStyle w:val="a3"/>
        <w:keepNext/>
        <w:keepLines/>
        <w:numPr>
          <w:ilvl w:val="1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Основными нормативными правовыми актами, использованными при разработке настоящего положения, являются:</w:t>
      </w:r>
    </w:p>
    <w:p w:rsidR="00712F02" w:rsidRPr="00F802D3" w:rsidRDefault="00712F02" w:rsidP="00967243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инструкция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</w:t>
      </w:r>
      <w:r w:rsidR="00F3017A" w:rsidRPr="00F802D3">
        <w:rPr>
          <w:rFonts w:ascii="Times New Roman" w:hAnsi="Times New Roman"/>
          <w:sz w:val="24"/>
          <w:szCs w:val="24"/>
          <w:lang w:eastAsia="ru-RU"/>
        </w:rPr>
        <w:t xml:space="preserve">й, утвержденная приказом Министерства финансов Российской Федерации </w:t>
      </w:r>
      <w:r w:rsidRPr="00F802D3">
        <w:rPr>
          <w:rFonts w:ascii="Times New Roman" w:hAnsi="Times New Roman"/>
          <w:sz w:val="24"/>
          <w:szCs w:val="24"/>
          <w:lang w:eastAsia="ru-RU"/>
        </w:rPr>
        <w:t xml:space="preserve">от 1 декабря </w:t>
      </w:r>
      <w:smartTag w:uri="urn:schemas-microsoft-com:office:smarttags" w:element="metricconverter">
        <w:smartTagPr>
          <w:attr w:name="ProductID" w:val="2010 г"/>
        </w:smartTagPr>
        <w:r w:rsidRPr="00F802D3">
          <w:rPr>
            <w:rFonts w:ascii="Times New Roman" w:hAnsi="Times New Roman"/>
            <w:sz w:val="24"/>
            <w:szCs w:val="24"/>
            <w:lang w:eastAsia="ru-RU"/>
          </w:rPr>
          <w:t>2010 г</w:t>
        </w:r>
      </w:smartTag>
      <w:r w:rsidRPr="00F802D3">
        <w:rPr>
          <w:rFonts w:ascii="Times New Roman" w:hAnsi="Times New Roman"/>
          <w:sz w:val="24"/>
          <w:szCs w:val="24"/>
          <w:lang w:eastAsia="ru-RU"/>
        </w:rPr>
        <w:t>. № 157н (далее - инструкция № 157н);</w:t>
      </w:r>
    </w:p>
    <w:p w:rsidR="00712F02" w:rsidRPr="00F802D3" w:rsidRDefault="00712F02" w:rsidP="00694BAE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приказов Минфина России от 16 декабря </w:t>
      </w:r>
      <w:smartTag w:uri="urn:schemas-microsoft-com:office:smarttags" w:element="metricconverter">
        <w:smartTagPr>
          <w:attr w:name="ProductID" w:val="2010 г"/>
        </w:smartTagPr>
        <w:r w:rsidRPr="00F802D3">
          <w:rPr>
            <w:rFonts w:ascii="Times New Roman" w:hAnsi="Times New Roman"/>
            <w:sz w:val="24"/>
            <w:szCs w:val="24"/>
            <w:lang w:eastAsia="ru-RU"/>
          </w:rPr>
          <w:t>2010 г</w:t>
        </w:r>
      </w:smartTag>
      <w:r w:rsidR="004C716B" w:rsidRPr="00F802D3">
        <w:rPr>
          <w:rFonts w:ascii="Times New Roman" w:hAnsi="Times New Roman"/>
          <w:sz w:val="24"/>
          <w:szCs w:val="24"/>
          <w:lang w:eastAsia="ru-RU"/>
        </w:rPr>
        <w:t>. № 174 «</w:t>
      </w:r>
      <w:r w:rsidR="00F3017A" w:rsidRPr="00F802D3">
        <w:rPr>
          <w:rFonts w:ascii="Times New Roman" w:hAnsi="Times New Roman"/>
          <w:sz w:val="24"/>
          <w:szCs w:val="24"/>
          <w:lang w:eastAsia="ru-RU"/>
        </w:rPr>
        <w:t xml:space="preserve">Об </w:t>
      </w:r>
      <w:r w:rsidRPr="00F802D3">
        <w:rPr>
          <w:rFonts w:ascii="Times New Roman" w:hAnsi="Times New Roman"/>
          <w:sz w:val="24"/>
          <w:szCs w:val="24"/>
          <w:lang w:eastAsia="ru-RU"/>
        </w:rPr>
        <w:t>утверждении Плана счетов бухгалтерского учета бюджетных учреждений и Инструкции по его применению»</w:t>
      </w:r>
      <w:r w:rsidRPr="00F802D3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</w:p>
    <w:p w:rsidR="00712F02" w:rsidRPr="00F802D3" w:rsidRDefault="00712F02" w:rsidP="00694BAE">
      <w:pPr>
        <w:pStyle w:val="a3"/>
        <w:keepNext/>
        <w:keepLines/>
        <w:numPr>
          <w:ilvl w:val="1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Состав комиссии по поступлению и выбытию активов </w:t>
      </w:r>
      <w:r w:rsidR="00D00E72">
        <w:rPr>
          <w:rFonts w:ascii="Times New Roman" w:hAnsi="Times New Roman"/>
          <w:sz w:val="24"/>
          <w:szCs w:val="24"/>
          <w:lang w:eastAsia="ru-RU"/>
        </w:rPr>
        <w:t>(далее - комиссия) утверждается</w:t>
      </w:r>
      <w:r w:rsidRPr="00F802D3">
        <w:rPr>
          <w:rFonts w:ascii="Times New Roman" w:hAnsi="Times New Roman"/>
          <w:sz w:val="24"/>
          <w:szCs w:val="24"/>
          <w:lang w:eastAsia="ru-RU"/>
        </w:rPr>
        <w:t xml:space="preserve"> приказом учреждени</w:t>
      </w:r>
      <w:r w:rsidR="00D00E72">
        <w:rPr>
          <w:rFonts w:ascii="Times New Roman" w:hAnsi="Times New Roman"/>
          <w:sz w:val="24"/>
          <w:szCs w:val="24"/>
          <w:lang w:eastAsia="ru-RU"/>
        </w:rPr>
        <w:t>я</w:t>
      </w:r>
      <w:r w:rsidRPr="00F802D3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712F02" w:rsidRPr="00F802D3" w:rsidRDefault="00712F02" w:rsidP="00694BAE">
      <w:pPr>
        <w:pStyle w:val="a3"/>
        <w:keepNext/>
        <w:keepLines/>
        <w:numPr>
          <w:ilvl w:val="1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712F02" w:rsidRPr="00F802D3" w:rsidRDefault="00712F02" w:rsidP="00BE4762">
      <w:pPr>
        <w:pStyle w:val="a3"/>
        <w:keepNext/>
        <w:keepLines/>
        <w:numPr>
          <w:ilvl w:val="1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Комиссия проводит заседания по мере необходимости</w:t>
      </w:r>
      <w:r w:rsidR="00A94E6F" w:rsidRPr="00F802D3">
        <w:rPr>
          <w:rFonts w:ascii="Times New Roman" w:hAnsi="Times New Roman"/>
          <w:sz w:val="24"/>
          <w:szCs w:val="24"/>
          <w:lang w:eastAsia="ru-RU"/>
        </w:rPr>
        <w:t>.</w:t>
      </w:r>
      <w:r w:rsidR="00D00E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802D3">
        <w:rPr>
          <w:rFonts w:ascii="Times New Roman" w:hAnsi="Times New Roman"/>
          <w:sz w:val="24"/>
          <w:szCs w:val="24"/>
          <w:lang w:eastAsia="ru-RU"/>
        </w:rPr>
        <w:t>Срок рассмотрения комиссией предоставленных ей документов  не должен превышать 14 календарных дней.</w:t>
      </w:r>
    </w:p>
    <w:p w:rsidR="00712F02" w:rsidRPr="00F802D3" w:rsidRDefault="00712F02" w:rsidP="00694BAE">
      <w:pPr>
        <w:pStyle w:val="a3"/>
        <w:keepNext/>
        <w:keepLines/>
        <w:numPr>
          <w:ilvl w:val="1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Заседание комиссии правомочно при наличии на ее заседании не менее двух третей членов ее состава.</w:t>
      </w:r>
    </w:p>
    <w:p w:rsidR="00712F02" w:rsidRPr="00F802D3" w:rsidRDefault="00712F02" w:rsidP="00694BAE">
      <w:pPr>
        <w:pStyle w:val="a3"/>
        <w:keepNext/>
        <w:keepLines/>
        <w:numPr>
          <w:ilvl w:val="1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В случае отсутствия работников учреждения, обладающих специальными знаниями, для участия в заседаниях комиссии могут приглашаться эксперты. Эксперты включаются в состав комиссии на добровольной основе.</w:t>
      </w:r>
    </w:p>
    <w:p w:rsidR="00712F02" w:rsidRPr="00F802D3" w:rsidRDefault="00712F02" w:rsidP="00AB5333">
      <w:pPr>
        <w:keepNext/>
        <w:keepLines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2F02" w:rsidRPr="00F802D3" w:rsidRDefault="00712F02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F802D3">
        <w:rPr>
          <w:rFonts w:ascii="Times New Roman" w:hAnsi="Times New Roman"/>
          <w:bCs/>
          <w:sz w:val="24"/>
          <w:szCs w:val="24"/>
        </w:rPr>
        <w:t>2.Основные задачи и полномочия комиссии</w:t>
      </w:r>
    </w:p>
    <w:p w:rsidR="00712F02" w:rsidRPr="00F802D3" w:rsidRDefault="00712F02" w:rsidP="00CA45E8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12F02" w:rsidRPr="00F802D3" w:rsidRDefault="00712F02" w:rsidP="00CA45E8">
      <w:pPr>
        <w:pStyle w:val="a3"/>
        <w:keepNext/>
        <w:keepLines/>
        <w:numPr>
          <w:ilvl w:val="1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Целью работы комиссии является принятие коллегиальных решений по подготовке и принятию решения о поступлении, выбытии, внутреннем перемещении движимого и недвижимого имущества,  закрепленного за учреждением на праве оперативного управления (далее –имущество), нематериальных активов, а также списанию материальных запасов.</w:t>
      </w:r>
    </w:p>
    <w:p w:rsidR="00712F02" w:rsidRPr="00F802D3" w:rsidRDefault="00712F02" w:rsidP="00CA45E8">
      <w:pPr>
        <w:pStyle w:val="a3"/>
        <w:keepNext/>
        <w:keepLines/>
        <w:numPr>
          <w:ilvl w:val="1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Комиссия принимает решения по следующим вопросам: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об отнесении объектов имущества к основным средствам и определении признака отнесения к особо ценному движимому имуществу;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 сроке полезного использования поступающих в учреждение основных средств и нематериальных активов;</w:t>
      </w:r>
    </w:p>
    <w:p w:rsidR="00712F02" w:rsidRPr="00F802D3" w:rsidRDefault="0081171D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об определении текущей оценочной</w:t>
      </w:r>
      <w:r w:rsidR="00712F02" w:rsidRPr="00F802D3">
        <w:rPr>
          <w:rFonts w:ascii="Times New Roman" w:hAnsi="Times New Roman"/>
          <w:sz w:val="24"/>
          <w:szCs w:val="24"/>
          <w:lang w:eastAsia="ru-RU"/>
        </w:rPr>
        <w:t xml:space="preserve"> стоимости объектов нефинансовых активов, выявленных при инвентаризации в виде излишков, а также полученных безвозмездно от юридических и физических лиц;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о принятии к учету поступивших основных средств, нематериальных активов с оформлением соответствующих первичных учетных документов, в том числе объектов движимого имущества стоимостью до </w:t>
      </w:r>
      <w:r w:rsidR="00D00E72">
        <w:rPr>
          <w:rFonts w:ascii="Times New Roman" w:hAnsi="Times New Roman"/>
          <w:sz w:val="24"/>
          <w:szCs w:val="24"/>
          <w:lang w:eastAsia="ru-RU"/>
        </w:rPr>
        <w:t>10</w:t>
      </w:r>
      <w:r w:rsidRPr="00F802D3">
        <w:rPr>
          <w:rFonts w:ascii="Times New Roman" w:hAnsi="Times New Roman"/>
          <w:sz w:val="24"/>
          <w:szCs w:val="24"/>
          <w:lang w:eastAsia="ru-RU"/>
        </w:rPr>
        <w:t xml:space="preserve">000 руб. включительно, учитываемых на </w:t>
      </w:r>
      <w:proofErr w:type="spellStart"/>
      <w:r w:rsidRPr="00F802D3">
        <w:rPr>
          <w:rFonts w:ascii="Times New Roman" w:hAnsi="Times New Roman"/>
          <w:sz w:val="24"/>
          <w:szCs w:val="24"/>
          <w:lang w:eastAsia="ru-RU"/>
        </w:rPr>
        <w:t>забалансовом</w:t>
      </w:r>
      <w:proofErr w:type="spellEnd"/>
      <w:r w:rsidRPr="00F802D3">
        <w:rPr>
          <w:rFonts w:ascii="Times New Roman" w:hAnsi="Times New Roman"/>
          <w:sz w:val="24"/>
          <w:szCs w:val="24"/>
          <w:lang w:eastAsia="ru-RU"/>
        </w:rPr>
        <w:t xml:space="preserve"> учете;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 по определению наименований, массе драгоценных металлов, содержащихся  в деталях, узлах машин, оборудования, инструментов, приборов и т.д.;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lastRenderedPageBreak/>
        <w:t>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 списании (выбытии) основных средств, нематериальных активов в установленном порядке, в том числе объектов дви</w:t>
      </w:r>
      <w:r w:rsidR="00D00E72">
        <w:rPr>
          <w:rFonts w:ascii="Times New Roman" w:hAnsi="Times New Roman"/>
          <w:sz w:val="24"/>
          <w:szCs w:val="24"/>
          <w:lang w:eastAsia="ru-RU"/>
        </w:rPr>
        <w:t>жимого имущества стоимостью до 10</w:t>
      </w:r>
      <w:r w:rsidRPr="00F802D3">
        <w:rPr>
          <w:rFonts w:ascii="Times New Roman" w:hAnsi="Times New Roman"/>
          <w:sz w:val="24"/>
          <w:szCs w:val="24"/>
          <w:lang w:eastAsia="ru-RU"/>
        </w:rPr>
        <w:t xml:space="preserve">000 руб. включительно, учитываемых на </w:t>
      </w:r>
      <w:proofErr w:type="spellStart"/>
      <w:r w:rsidRPr="00F802D3">
        <w:rPr>
          <w:rFonts w:ascii="Times New Roman" w:hAnsi="Times New Roman"/>
          <w:sz w:val="24"/>
          <w:szCs w:val="24"/>
          <w:lang w:eastAsia="ru-RU"/>
        </w:rPr>
        <w:t>забалансовом</w:t>
      </w:r>
      <w:proofErr w:type="spellEnd"/>
      <w:r w:rsidRPr="00F802D3">
        <w:rPr>
          <w:rFonts w:ascii="Times New Roman" w:hAnsi="Times New Roman"/>
          <w:sz w:val="24"/>
          <w:szCs w:val="24"/>
          <w:lang w:eastAsia="ru-RU"/>
        </w:rPr>
        <w:t xml:space="preserve"> учете;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 возможности использования отдельных узлов, деталей, конструкций и материалов от выбывающих основных средств и об определении их первоначальной стоимости;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 списании (выбытии) материальных запасов, за исключением выбытия в результате их потребления на нужды учреждения, с оформлением соответствующих первичных учетных документов;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 выбытии периодических изданий;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об изъятии и передаче материально ответственному лицу из списываемых основных средств пригодных узлов, деталей, конструкций и материалов, драгоценных металлов, цветных металлов и постановке их на учет;</w:t>
      </w:r>
    </w:p>
    <w:p w:rsidR="00712F02" w:rsidRPr="00F802D3" w:rsidRDefault="00712F02" w:rsidP="00CA45E8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 получении от специализированной организации по утилизации имущества акта приема-сдачи имущества, подлежащего уничтожению, акта об оказанных услугах по уничтожению имущества, акта об уничтожении.</w:t>
      </w:r>
    </w:p>
    <w:p w:rsidR="00712F02" w:rsidRPr="00F802D3" w:rsidRDefault="00712F02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12F02" w:rsidRPr="00F802D3" w:rsidRDefault="00712F02" w:rsidP="004A3440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F802D3">
        <w:rPr>
          <w:rFonts w:ascii="Times New Roman" w:hAnsi="Times New Roman"/>
          <w:bCs/>
          <w:sz w:val="24"/>
          <w:szCs w:val="24"/>
        </w:rPr>
        <w:t>3. Порядок принятия решений комиссией</w:t>
      </w:r>
    </w:p>
    <w:p w:rsidR="00712F02" w:rsidRPr="00F802D3" w:rsidRDefault="00712F02" w:rsidP="004A344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712F02" w:rsidRPr="00F802D3" w:rsidRDefault="00712F02" w:rsidP="004A3440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Решение комиссии об отнесении объекта имущества к основным средствам, нематериальным активам, материальным запасам осуществляется на основании </w:t>
      </w:r>
      <w:hyperlink r:id="rId9" w:history="1">
        <w:r w:rsidRPr="00F802D3">
          <w:rPr>
            <w:rFonts w:ascii="Times New Roman" w:hAnsi="Times New Roman"/>
            <w:sz w:val="24"/>
            <w:szCs w:val="24"/>
            <w:lang w:eastAsia="ru-RU"/>
          </w:rPr>
          <w:t>инструкции</w:t>
        </w:r>
      </w:hyperlink>
      <w:r w:rsidRPr="00F802D3">
        <w:rPr>
          <w:rFonts w:ascii="Times New Roman" w:hAnsi="Times New Roman"/>
          <w:sz w:val="24"/>
          <w:szCs w:val="24"/>
          <w:lang w:eastAsia="ru-RU"/>
        </w:rPr>
        <w:t xml:space="preserve"> № 157н и иных нормативных правовых актов, а также приказа учреждения об учетной политике.</w:t>
      </w:r>
    </w:p>
    <w:p w:rsidR="00F3017A" w:rsidRPr="00F802D3" w:rsidRDefault="00712F02" w:rsidP="006D1D78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Решение комиссии о сроке их полезного использования, об отнесении к соответствующей группе аналитического учета и определении кода </w:t>
      </w:r>
      <w:hyperlink r:id="rId10" w:history="1">
        <w:r w:rsidRPr="00F802D3">
          <w:rPr>
            <w:rFonts w:ascii="Times New Roman" w:hAnsi="Times New Roman"/>
            <w:sz w:val="24"/>
            <w:szCs w:val="24"/>
            <w:lang w:eastAsia="ru-RU"/>
          </w:rPr>
          <w:t>ОКОФ</w:t>
        </w:r>
      </w:hyperlink>
      <w:r w:rsidRPr="00F802D3">
        <w:rPr>
          <w:rFonts w:ascii="Times New Roman" w:hAnsi="Times New Roman"/>
          <w:sz w:val="24"/>
          <w:szCs w:val="24"/>
          <w:lang w:eastAsia="ru-RU"/>
        </w:rPr>
        <w:t xml:space="preserve"> принимается на основании:</w:t>
      </w:r>
    </w:p>
    <w:p w:rsidR="00712F02" w:rsidRPr="00F802D3" w:rsidRDefault="00712F02" w:rsidP="00C87C83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информации, содержащейся в законодательстве Российской Федерации, устанавливающем сроки полезного использования имущества в целях начисления амортизации. По объектам основных средств, включенным согласно постановлению Правительства Российской Федерации от 1 января </w:t>
      </w:r>
      <w:smartTag w:uri="urn:schemas-microsoft-com:office:smarttags" w:element="metricconverter">
        <w:smartTagPr>
          <w:attr w:name="ProductID" w:val="1997 г"/>
        </w:smartTagPr>
        <w:r w:rsidRPr="00F802D3">
          <w:rPr>
            <w:rFonts w:ascii="Times New Roman" w:hAnsi="Times New Roman"/>
            <w:sz w:val="24"/>
            <w:szCs w:val="24"/>
            <w:lang w:eastAsia="ru-RU"/>
          </w:rPr>
          <w:t>2002 г</w:t>
        </w:r>
      </w:smartTag>
      <w:r w:rsidRPr="00F802D3">
        <w:rPr>
          <w:rFonts w:ascii="Times New Roman" w:hAnsi="Times New Roman"/>
          <w:sz w:val="24"/>
          <w:szCs w:val="24"/>
          <w:lang w:eastAsia="ru-RU"/>
        </w:rPr>
        <w:t xml:space="preserve">. № 1 в амортизационные группы с </w:t>
      </w:r>
      <w:hyperlink r:id="rId11" w:history="1">
        <w:r w:rsidRPr="00F802D3">
          <w:rPr>
            <w:rFonts w:ascii="Times New Roman" w:hAnsi="Times New Roman"/>
            <w:sz w:val="24"/>
            <w:szCs w:val="24"/>
            <w:lang w:eastAsia="ru-RU"/>
          </w:rPr>
          <w:t>первой</w:t>
        </w:r>
      </w:hyperlink>
      <w:r w:rsidRPr="00F802D3">
        <w:rPr>
          <w:rFonts w:ascii="Times New Roman" w:hAnsi="Times New Roman"/>
          <w:sz w:val="24"/>
          <w:szCs w:val="24"/>
          <w:lang w:eastAsia="ru-RU"/>
        </w:rPr>
        <w:t xml:space="preserve"> по </w:t>
      </w:r>
      <w:hyperlink r:id="rId12" w:history="1">
        <w:r w:rsidRPr="00F802D3">
          <w:rPr>
            <w:rFonts w:ascii="Times New Roman" w:hAnsi="Times New Roman"/>
            <w:sz w:val="24"/>
            <w:szCs w:val="24"/>
            <w:lang w:eastAsia="ru-RU"/>
          </w:rPr>
          <w:t>девятую</w:t>
        </w:r>
      </w:hyperlink>
      <w:r w:rsidRPr="00F802D3">
        <w:rPr>
          <w:rFonts w:ascii="Times New Roman" w:hAnsi="Times New Roman"/>
          <w:sz w:val="24"/>
          <w:szCs w:val="24"/>
          <w:lang w:eastAsia="ru-RU"/>
        </w:rPr>
        <w:t xml:space="preserve">, срок полезного использования определяется по наибольшему сроку, установленному для указанных амортизационных групп. В </w:t>
      </w:r>
      <w:hyperlink r:id="rId13" w:history="1">
        <w:r w:rsidRPr="00F802D3">
          <w:rPr>
            <w:rFonts w:ascii="Times New Roman" w:hAnsi="Times New Roman"/>
            <w:sz w:val="24"/>
            <w:szCs w:val="24"/>
            <w:lang w:eastAsia="ru-RU"/>
          </w:rPr>
          <w:t>десятую амортизационную группу</w:t>
        </w:r>
      </w:hyperlink>
      <w:r w:rsidRPr="00F802D3">
        <w:rPr>
          <w:rFonts w:ascii="Times New Roman" w:hAnsi="Times New Roman"/>
          <w:sz w:val="24"/>
          <w:szCs w:val="24"/>
          <w:lang w:eastAsia="ru-RU"/>
        </w:rPr>
        <w:t xml:space="preserve"> - срок полезного использования рассчитывается исходя из единых </w:t>
      </w:r>
      <w:hyperlink r:id="rId14" w:history="1">
        <w:r w:rsidRPr="00F802D3">
          <w:rPr>
            <w:rFonts w:ascii="Times New Roman" w:hAnsi="Times New Roman"/>
            <w:sz w:val="24"/>
            <w:szCs w:val="24"/>
            <w:lang w:eastAsia="ru-RU"/>
          </w:rPr>
          <w:t>норм</w:t>
        </w:r>
      </w:hyperlink>
      <w:r w:rsidRPr="00F802D3">
        <w:rPr>
          <w:rFonts w:ascii="Times New Roman" w:hAnsi="Times New Roman"/>
          <w:sz w:val="24"/>
          <w:szCs w:val="24"/>
          <w:lang w:eastAsia="ru-RU"/>
        </w:rPr>
        <w:t xml:space="preserve"> амортизационных отчислений на полное восстановление основных фондов народного хозяйства СССР, утвержденных постановлением Совета Министров СССР от 22 октября </w:t>
      </w:r>
      <w:smartTag w:uri="urn:schemas-microsoft-com:office:smarttags" w:element="metricconverter">
        <w:smartTagPr>
          <w:attr w:name="ProductID" w:val="1997 г"/>
        </w:smartTagPr>
        <w:r w:rsidRPr="00F802D3">
          <w:rPr>
            <w:rFonts w:ascii="Times New Roman" w:hAnsi="Times New Roman"/>
            <w:sz w:val="24"/>
            <w:szCs w:val="24"/>
            <w:lang w:eastAsia="ru-RU"/>
          </w:rPr>
          <w:t>1990 г</w:t>
        </w:r>
      </w:smartTag>
      <w:r w:rsidRPr="00F802D3">
        <w:rPr>
          <w:rFonts w:ascii="Times New Roman" w:hAnsi="Times New Roman"/>
          <w:sz w:val="24"/>
          <w:szCs w:val="24"/>
          <w:lang w:eastAsia="ru-RU"/>
        </w:rPr>
        <w:t>. № 1072;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рекомендаций, содержащихся в документах производителя, при отсутствии информации в нормативных правовых актах на основании решения комиссии учреждения по поступлению и выбытию активов, принятого с учетом ожидаемой производительности или мощности, ожидаемого физического износа, зависящих от режима эксплуатации, естественных условий и влияния агрессивной среды, системы проведения ремонта, гарантийного и договорного срока использования и других ограничений использования;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данных предыдущих балансодержателей (пользователей) основных средств и нематериальных активов о сроке их фактической эксплуатации и степени износа - при поступлении объектов, бывших в эксплуатации в государственных учреждениях, государственных органах (указанных в актах приема-передачи);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информации о сроках действия патентов, свидетельств и других ограничений сроков использования объектов интеллектуальной собственности согласно законодательству Российской Федерации, об ожидаемом сроке их использования при определении срока полезного использования нематериальных активов.</w:t>
      </w:r>
    </w:p>
    <w:p w:rsidR="00712F02" w:rsidRPr="00F802D3" w:rsidRDefault="00712F02" w:rsidP="004A3440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Решение комиссии о первоначальной стоимости поступающих в учреждение на праве оперативного управления основных средств и нематериальных активов принимается на основании следующих документов: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lastRenderedPageBreak/>
        <w:t>сопроводительной и технической документации (государственных контрактов, договоров, накладных поставщика, счетов-фактур, актов о приемке выполненных работ (услуг), паспортов, гарантийных талонов и т.п.), которая представляется материально ответственным лицом в копиях либо, по требованию комиссии, в подлинниках;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документов, представленных предыдущим балансодержателем (по безвозмездно полученным основным средствам и нематериальным активам);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отчетов об оценке независимых оценщиков (по основным средствам и нематериальным активам, принимаемым в соответствии с </w:t>
      </w:r>
      <w:hyperlink r:id="rId15" w:history="1">
        <w:r w:rsidRPr="00F802D3">
          <w:rPr>
            <w:rFonts w:ascii="Times New Roman" w:hAnsi="Times New Roman"/>
            <w:sz w:val="24"/>
            <w:szCs w:val="24"/>
            <w:lang w:eastAsia="ru-RU"/>
          </w:rPr>
          <w:t>инструкцией</w:t>
        </w:r>
      </w:hyperlink>
      <w:r w:rsidRPr="00F802D3">
        <w:rPr>
          <w:rFonts w:ascii="Times New Roman" w:hAnsi="Times New Roman"/>
          <w:sz w:val="24"/>
          <w:szCs w:val="24"/>
          <w:lang w:eastAsia="ru-RU"/>
        </w:rPr>
        <w:t xml:space="preserve"> №157н, по </w:t>
      </w:r>
      <w:r w:rsidR="00691C37" w:rsidRPr="00F802D3">
        <w:rPr>
          <w:rFonts w:ascii="Times New Roman" w:hAnsi="Times New Roman"/>
          <w:sz w:val="24"/>
          <w:szCs w:val="24"/>
          <w:lang w:eastAsia="ru-RU"/>
        </w:rPr>
        <w:t>оценочной</w:t>
      </w:r>
      <w:r w:rsidRPr="00F802D3">
        <w:rPr>
          <w:rFonts w:ascii="Times New Roman" w:hAnsi="Times New Roman"/>
          <w:sz w:val="24"/>
          <w:szCs w:val="24"/>
          <w:lang w:eastAsia="ru-RU"/>
        </w:rPr>
        <w:t xml:space="preserve"> стоимости на дату принятия к учету);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данных о ценах на аналогичные материальные ценности, полученных в письменной форме от организаций-изготовителей; сведений об уровне цен, имеющихся у органов государственной статистики, торговых инспекций, а также в средствах массовой информации и специальной литературе, экспертных заключениях (в том числе экспертов, привлеченных на добровольных началах к работе в комиссии).</w:t>
      </w:r>
    </w:p>
    <w:p w:rsidR="00712F02" w:rsidRPr="00F802D3" w:rsidRDefault="00712F02" w:rsidP="004A3440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Решение комиссии о принятии к учету основных средств и нематериальных активов при их приобретении (изготовлении), по которым сформирована первоначальная стоимость, принимается на основании оформленных первичных учетных документов, составленных по унифицированным формам, утвержденным  приказом № </w:t>
      </w:r>
      <w:r w:rsidR="00A94E6F" w:rsidRPr="00F802D3">
        <w:rPr>
          <w:rFonts w:ascii="Times New Roman" w:hAnsi="Times New Roman"/>
          <w:sz w:val="24"/>
          <w:szCs w:val="24"/>
          <w:lang w:eastAsia="ru-RU"/>
        </w:rPr>
        <w:t>52</w:t>
      </w:r>
      <w:r w:rsidRPr="00F802D3">
        <w:rPr>
          <w:rFonts w:ascii="Times New Roman" w:hAnsi="Times New Roman"/>
          <w:sz w:val="24"/>
          <w:szCs w:val="24"/>
          <w:lang w:eastAsia="ru-RU"/>
        </w:rPr>
        <w:t>н.</w:t>
      </w:r>
    </w:p>
    <w:p w:rsidR="00712F02" w:rsidRPr="00F802D3" w:rsidRDefault="00712F02" w:rsidP="004A3440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Решение комиссии по определению наименований, массе драгоценных металлов, содержащихся  в деталях, узлах машин, оборудования, инструментов, приборов и т.д., по  которым отсутствуют данные в технической документации, принимается  на основе аналогов, расчетов в соответствии с данными: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справочника «Содержание драгоценных металлов в электротехнических изделиях, аппаратуре связи, контрольно-измерительных приборах, кабельной продукции, электронной и бытовой технике»;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по данным организаций, разработчиков, изготовителей.</w:t>
      </w:r>
    </w:p>
    <w:p w:rsidR="00712F02" w:rsidRPr="00F802D3" w:rsidRDefault="00712F02" w:rsidP="004A3440">
      <w:pPr>
        <w:pStyle w:val="a3"/>
        <w:keepNext/>
        <w:keepLines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В отдельных случаях, когда </w:t>
      </w:r>
      <w:proofErr w:type="spellStart"/>
      <w:r w:rsidRPr="00F802D3">
        <w:rPr>
          <w:rFonts w:ascii="Times New Roman" w:hAnsi="Times New Roman"/>
          <w:sz w:val="24"/>
          <w:szCs w:val="24"/>
          <w:lang w:eastAsia="ru-RU"/>
        </w:rPr>
        <w:t>комиссионно</w:t>
      </w:r>
      <w:proofErr w:type="spellEnd"/>
      <w:r w:rsidRPr="00F802D3">
        <w:rPr>
          <w:rFonts w:ascii="Times New Roman" w:hAnsi="Times New Roman"/>
          <w:sz w:val="24"/>
          <w:szCs w:val="24"/>
          <w:lang w:eastAsia="ru-RU"/>
        </w:rPr>
        <w:t xml:space="preserve"> определить содержание драгоценных металлов в оборудовании невозможно из-за отсутствия данных о наличии драгоценных металлов или аналогов, в учетных документах по решению комиссии делается запись: «в данном объекте могут находиться драгоценные металлы, содержание которых будет определено после списания и утилизации».</w:t>
      </w:r>
    </w:p>
    <w:p w:rsidR="00712F02" w:rsidRPr="00F802D3" w:rsidRDefault="00712F02" w:rsidP="004A3440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Решение комиссии о списании (выбытии) основных средств, нематериальных активов, материальных запасов принимается после выполнения следующих мероприятий: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непосредственный осмотр основных средств (при их наличии), определение их технического состояния и возможности дальнейшего применения по назначению с использованием необходимой технической документации (технический паспорт, проект, чертежи, технические условия, инструкции по эксплуатации и т.п.), данных бухгалтерского учета и установление непригодности их к восстановлению и дальнейшему использованию либо нецелесообразности дальнейшего восстановления и (или) использования;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рассмотрение документов, подтверждающих преждевременное выбытие имущества из владения, пользования и распоряжения вследствие его гибели или уничтожения, в том числе помимо воли обладателя права на оперативное управление;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установление конкретных причин списания (выбытия) (износ физический, моральный; авария; нарушение условий эксплуатации; ликвидация при реконструкции; другие причины);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выявление лиц, по вине которых произошло преждевременное выбытие, и вынесение предложений о привлечении этих лиц к ответственности, установленной законодательством;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поручение ответственным исполнителям организации подготовки технического заключения экспертом о техническом состоянии основных средств, подлежащих списанию, или составление дефектной ведомости на оборудование, находящееся в эксплуатации, а также на производственный и хозяйственный инвентарь;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определение возможности использования отдельных узлов, деталей, конструкций и материалов, выбывающих основных средств и их оценки исходя из </w:t>
      </w:r>
      <w:r w:rsidR="00691C37" w:rsidRPr="00F802D3">
        <w:rPr>
          <w:rFonts w:ascii="Times New Roman" w:hAnsi="Times New Roman"/>
          <w:sz w:val="24"/>
          <w:szCs w:val="24"/>
          <w:lang w:eastAsia="ru-RU"/>
        </w:rPr>
        <w:t>оценочной</w:t>
      </w:r>
      <w:r w:rsidRPr="00F802D3">
        <w:rPr>
          <w:rFonts w:ascii="Times New Roman" w:hAnsi="Times New Roman"/>
          <w:sz w:val="24"/>
          <w:szCs w:val="24"/>
          <w:lang w:eastAsia="ru-RU"/>
        </w:rPr>
        <w:t xml:space="preserve"> стоимости на дату принятия к учету.</w:t>
      </w:r>
    </w:p>
    <w:p w:rsidR="00712F02" w:rsidRPr="00F802D3" w:rsidRDefault="00712F02" w:rsidP="004A3440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Решение комиссии о списании (выбытии) основных средств, нематериальных активов принимается с учетом: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lastRenderedPageBreak/>
        <w:t>наличия технического заключения эксперта о состоянии основных средств, подлежащих списанию, или дефектной ведомости на оборудование, находящееся в эксплуатации, а также на производственный и хозяйственный инвентарь - при списании основных средств, не пригодных</w:t>
      </w:r>
      <w:r w:rsidR="00A94E6F" w:rsidRPr="00F802D3">
        <w:rPr>
          <w:rFonts w:ascii="Times New Roman" w:hAnsi="Times New Roman"/>
          <w:sz w:val="24"/>
          <w:szCs w:val="24"/>
          <w:lang w:eastAsia="ru-RU"/>
        </w:rPr>
        <w:t xml:space="preserve"> к использованию по назначению; 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наличия драгоценных металлов и драгоценных камней, содержащихся в списываемых основных средствах, которые учитываются в порядке, установленном </w:t>
      </w:r>
      <w:hyperlink r:id="rId16" w:history="1">
        <w:r w:rsidRPr="00F802D3">
          <w:rPr>
            <w:rFonts w:ascii="Times New Roman" w:hAnsi="Times New Roman"/>
            <w:sz w:val="24"/>
            <w:szCs w:val="24"/>
            <w:lang w:eastAsia="ru-RU"/>
          </w:rPr>
          <w:t>приказом</w:t>
        </w:r>
      </w:hyperlink>
      <w:r w:rsidRPr="00F802D3">
        <w:rPr>
          <w:rFonts w:ascii="Times New Roman" w:hAnsi="Times New Roman"/>
          <w:sz w:val="24"/>
          <w:szCs w:val="24"/>
          <w:lang w:eastAsia="ru-RU"/>
        </w:rPr>
        <w:t xml:space="preserve"> Минфина России от 29 августа 2001 г. № 68н «Об утверждении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обращении»;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наличия акта об аварии или заверенной его копии, а также пояснений причастных лиц о причинах, вызвавших аварию, - при списании основных средств, выбывших вследствие аварий;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наличия иных документов, подтверждающих факт преждевременного выбытия имущества из владения, пользования и распоряжения.</w:t>
      </w:r>
    </w:p>
    <w:p w:rsidR="00712F02" w:rsidRPr="00F802D3" w:rsidRDefault="00712F02" w:rsidP="004A3440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Решение комиссии о списании (выбытии) основных средств, нематериальных активов, материальных запасов оформляется по унифицированным формам первичной учетной документации, утвержденным  приказом № </w:t>
      </w:r>
      <w:r w:rsidR="00B74303" w:rsidRPr="00F802D3">
        <w:rPr>
          <w:rFonts w:ascii="Times New Roman" w:hAnsi="Times New Roman"/>
          <w:sz w:val="24"/>
          <w:szCs w:val="24"/>
          <w:lang w:eastAsia="ru-RU"/>
        </w:rPr>
        <w:t>52</w:t>
      </w:r>
      <w:r w:rsidRPr="00F802D3">
        <w:rPr>
          <w:rFonts w:ascii="Times New Roman" w:hAnsi="Times New Roman"/>
          <w:sz w:val="24"/>
          <w:szCs w:val="24"/>
          <w:lang w:eastAsia="ru-RU"/>
        </w:rPr>
        <w:t xml:space="preserve">н. </w:t>
      </w:r>
    </w:p>
    <w:p w:rsidR="00712F02" w:rsidRPr="00F802D3" w:rsidRDefault="00712F02" w:rsidP="004A3440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В целях согласования решения о списании недвижимого и особо ценного движимого имущества, закрепленного за учреждением или приобретенного за счет средств, выделенных учредителем, комиссия подготавливает и направляет учредителю следующие документы:</w:t>
      </w:r>
    </w:p>
    <w:p w:rsidR="00712F02" w:rsidRPr="00F802D3" w:rsidRDefault="00712F02" w:rsidP="004A3440">
      <w:pPr>
        <w:pStyle w:val="a3"/>
        <w:keepNext/>
        <w:keepLines/>
        <w:numPr>
          <w:ilvl w:val="2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Для согласования списания объектов основных средств, относящихся к движимому особо ценному имуществу прослужившего срок полезного использования согласно амортизационной группы пришедших в негодность, представляются:</w:t>
      </w:r>
    </w:p>
    <w:p w:rsidR="00712F02" w:rsidRPr="00F802D3" w:rsidRDefault="00712F02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а) письмо учреждения на бланке, содержащем полное его наименование, с приложением перечня объектов основных средств, относящихся к движимому имуществу, списание которых подлежит согласованию.</w:t>
      </w:r>
    </w:p>
    <w:p w:rsidR="00712F02" w:rsidRPr="00F802D3" w:rsidRDefault="00712F02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В перечне объектов основных средств, относящихся к движимому имуществу, списание которых подлежит согласованию, указываются: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номер по порядку;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наименование объекта основных средств;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инвентарный номер объекта основных;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год выпуска объекта основных средств;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год ввода в эксплуатацию;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первоначальная стоимость объекта основных средств;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остаточная стоимость объекта основных средств на момент списания;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срок полезного использования, установленный для данного объекта основных средств, и срок фактического использования на момент списания;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краткое обоснование причин списания и нецелесообразности дальнейшего использования объекта основных средств;</w:t>
      </w:r>
    </w:p>
    <w:p w:rsidR="00712F02" w:rsidRPr="00F802D3" w:rsidRDefault="000F6C5A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б</w:t>
      </w:r>
      <w:r w:rsidR="00712F02" w:rsidRPr="00F802D3">
        <w:rPr>
          <w:rFonts w:ascii="Times New Roman" w:hAnsi="Times New Roman"/>
          <w:sz w:val="24"/>
          <w:szCs w:val="24"/>
          <w:lang w:eastAsia="ru-RU"/>
        </w:rPr>
        <w:t>) копия инвентарной карточки учета основных средств (ф. 0504031);</w:t>
      </w:r>
    </w:p>
    <w:p w:rsidR="00712F02" w:rsidRPr="00F802D3" w:rsidRDefault="000F6C5A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в</w:t>
      </w:r>
      <w:r w:rsidR="00712F02" w:rsidRPr="00F802D3">
        <w:rPr>
          <w:rFonts w:ascii="Times New Roman" w:hAnsi="Times New Roman"/>
          <w:sz w:val="24"/>
          <w:szCs w:val="24"/>
          <w:lang w:eastAsia="ru-RU"/>
        </w:rPr>
        <w:t>) копия заключения о техническом состоянии объекта основных средств, подтверждающего его непригодность к дальнейшему использованию (при отсутствии соответствующих специалистов в штате учреждения - копия указанного заключения, выданного организациями, имеющими лицензии на данный вид деятельности, с приложением копий лицензий);</w:t>
      </w:r>
    </w:p>
    <w:p w:rsidR="00712F02" w:rsidRPr="00F802D3" w:rsidRDefault="00B74303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г</w:t>
      </w:r>
      <w:r w:rsidR="00712F02" w:rsidRPr="00F802D3">
        <w:rPr>
          <w:rFonts w:ascii="Times New Roman" w:hAnsi="Times New Roman"/>
          <w:sz w:val="24"/>
          <w:szCs w:val="24"/>
          <w:lang w:eastAsia="ru-RU"/>
        </w:rPr>
        <w:t>) копия приказа о создании постоянно действующей комиссии по списанию объектов основных средств учреждения.</w:t>
      </w:r>
    </w:p>
    <w:p w:rsidR="00712F02" w:rsidRPr="00F802D3" w:rsidRDefault="00712F02" w:rsidP="004A3440">
      <w:pPr>
        <w:pStyle w:val="a3"/>
        <w:keepNext/>
        <w:keepLines/>
        <w:numPr>
          <w:ilvl w:val="2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Для получения решения о согласовании списания объектов основных средств, относящихся к недвижимому имуществу, в связи со строительством, реконструкцией, сносом представляются:</w:t>
      </w:r>
    </w:p>
    <w:p w:rsidR="00712F02" w:rsidRPr="00F802D3" w:rsidRDefault="00712F02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а) письмо учреждения на бланке, содержащем полное наименование учреждения, с приложением перечня объектов основных средств, относящихся к недвижимому имуществу, списание которых подлежит согласованию.</w:t>
      </w:r>
    </w:p>
    <w:p w:rsidR="00712F02" w:rsidRPr="00F802D3" w:rsidRDefault="00712F02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В перечне объектов основных средств, относящихся к недвижимому имуществу, списание которых подлежит согласованию, указываются: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номер по порядку;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lastRenderedPageBreak/>
        <w:t>наименование объекта основных средств;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инвентарный номер объекта основных средств;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год постройки объекта основных средств;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первоначальная стоимость объекта основных средств;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остаточная стоимость объекта основных средств на момент списания;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срок полезного использования, установленный для данного объекта основных средств, и срок фактического использования на момент списания;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подробное обоснование причин списания объекта основных средств, относящихся к недвижимому имуществу, с приложением документов, являющихся составной частью проектной документации (копия пояснительной записки);</w:t>
      </w:r>
    </w:p>
    <w:p w:rsidR="00712F02" w:rsidRPr="00F802D3" w:rsidRDefault="00B74303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б</w:t>
      </w:r>
      <w:r w:rsidR="00712F02" w:rsidRPr="00F802D3">
        <w:rPr>
          <w:rFonts w:ascii="Times New Roman" w:hAnsi="Times New Roman"/>
          <w:sz w:val="24"/>
          <w:szCs w:val="24"/>
          <w:lang w:eastAsia="ru-RU"/>
        </w:rPr>
        <w:t>) копия инвентарной карточки учета основных средств (ф. 0504031);</w:t>
      </w:r>
    </w:p>
    <w:p w:rsidR="00712F02" w:rsidRPr="00F802D3" w:rsidRDefault="00B74303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в</w:t>
      </w:r>
      <w:r w:rsidR="00712F02" w:rsidRPr="00F802D3">
        <w:rPr>
          <w:rFonts w:ascii="Times New Roman" w:hAnsi="Times New Roman"/>
          <w:sz w:val="24"/>
          <w:szCs w:val="24"/>
          <w:lang w:eastAsia="ru-RU"/>
        </w:rPr>
        <w:t>) копия свидетельства о государственной регистрации права хозяйственного ведения (оперативного управления) либо соответствующая выписка из ЕГРП о правах организации на объект основных средств, относящийся к недвижимому имуществу, подлежащий списанию или правоустанавливающий документ о возникновении права организации на объект основных средств до вступления в силу Федерального закона от 21 июля 1997 г. № 122-ФЗ «О государственной регистрации прав на недвижимое имущество и сделок с ним»;</w:t>
      </w:r>
    </w:p>
    <w:p w:rsidR="00712F02" w:rsidRPr="00F802D3" w:rsidRDefault="00B74303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г</w:t>
      </w:r>
      <w:r w:rsidR="00712F02" w:rsidRPr="00F802D3">
        <w:rPr>
          <w:rFonts w:ascii="Times New Roman" w:hAnsi="Times New Roman"/>
          <w:sz w:val="24"/>
          <w:szCs w:val="24"/>
          <w:lang w:eastAsia="ru-RU"/>
        </w:rPr>
        <w:t>) копии документов государственного технического и кадастрового учета на объект основных средств, подлежащий списанию, выданные органами, осуществляющими технический, кадастровый учет и инвентаризацию объектов недвижимости, действительные на дату их представления, либо копия справки о техническом состоянии объекта, выданной той же организацией (в случае значительного износа или повреждения объекта);</w:t>
      </w:r>
    </w:p>
    <w:p w:rsidR="00712F02" w:rsidRPr="00F802D3" w:rsidRDefault="00B74303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д</w:t>
      </w:r>
      <w:r w:rsidR="00712F02" w:rsidRPr="00F802D3">
        <w:rPr>
          <w:rFonts w:ascii="Times New Roman" w:hAnsi="Times New Roman"/>
          <w:sz w:val="24"/>
          <w:szCs w:val="24"/>
          <w:lang w:eastAsia="ru-RU"/>
        </w:rPr>
        <w:t>) копия приказа о создании постоянно действующей комиссии по списанию объектов основных средств;</w:t>
      </w:r>
    </w:p>
    <w:p w:rsidR="00712F02" w:rsidRPr="00F802D3" w:rsidRDefault="00B74303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е</w:t>
      </w:r>
      <w:r w:rsidR="00712F02" w:rsidRPr="00F802D3">
        <w:rPr>
          <w:rFonts w:ascii="Times New Roman" w:hAnsi="Times New Roman"/>
          <w:sz w:val="24"/>
          <w:szCs w:val="24"/>
          <w:lang w:eastAsia="ru-RU"/>
        </w:rPr>
        <w:t>) материалы фото фиксации объекта (с З-х разных ракурсов).</w:t>
      </w:r>
    </w:p>
    <w:p w:rsidR="00712F02" w:rsidRPr="00F802D3" w:rsidRDefault="00712F02" w:rsidP="004A3440">
      <w:pPr>
        <w:pStyle w:val="a3"/>
        <w:keepNext/>
        <w:keepLines/>
        <w:numPr>
          <w:ilvl w:val="2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 xml:space="preserve"> При списании объектов основных средств, по которым срок фактической эксплуатации не превышает срока полезного использования, - хищения, недостачи, порчи, выявленных при инвентаризации активов, ликвидации при авариях помимо документов, указанных в пунктах 3.9.1- 3.9.3 настоящего положения, представляются:</w:t>
      </w:r>
    </w:p>
    <w:p w:rsidR="00712F02" w:rsidRPr="00F802D3" w:rsidRDefault="00712F02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а) акт проверки, проведенной учреждением, о ненадлежащем использовании/хранении объекта основных средств с указанием виновных лиц;</w:t>
      </w:r>
    </w:p>
    <w:p w:rsidR="00712F02" w:rsidRPr="00F802D3" w:rsidRDefault="00712F02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б) письмо о принятых мерах в отношении виновных лиц, допустивших повреждение объекта основных средств, с приложением копий подтверждающих документов (в случае выявления виновных лиц):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копии постановления о возбуждении или прекращении уголовного дела (при его наличии);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справка учреждения о стоимости нанесенного ущерба;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справка учреждения о возмещении ущерба виновными лицами;</w:t>
      </w:r>
    </w:p>
    <w:p w:rsidR="00712F02" w:rsidRPr="00F802D3" w:rsidRDefault="00712F02" w:rsidP="004A3440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в) письмо с подробным пояснением причины, вызвавшей списание объекта основного средства до истечения срока полезного использования (в случае отсутствия виновных лиц).</w:t>
      </w:r>
    </w:p>
    <w:p w:rsidR="00712F02" w:rsidRPr="00F802D3" w:rsidRDefault="00712F02" w:rsidP="004A3440">
      <w:pPr>
        <w:pStyle w:val="a3"/>
        <w:keepNext/>
        <w:keepLines/>
        <w:numPr>
          <w:ilvl w:val="2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При списании объектов основных средств, пришедших в негодное состояние в результате стихийных бедствий или иных чрезвычайных ситуаций, помимо документов, указанных в пунк</w:t>
      </w:r>
      <w:r w:rsidR="00B74303" w:rsidRPr="00F802D3">
        <w:rPr>
          <w:rFonts w:ascii="Times New Roman" w:hAnsi="Times New Roman"/>
          <w:sz w:val="24"/>
          <w:szCs w:val="24"/>
          <w:lang w:eastAsia="ru-RU"/>
        </w:rPr>
        <w:t>е</w:t>
      </w:r>
      <w:r w:rsidRPr="00F802D3">
        <w:rPr>
          <w:rFonts w:ascii="Times New Roman" w:hAnsi="Times New Roman"/>
          <w:sz w:val="24"/>
          <w:szCs w:val="24"/>
          <w:lang w:eastAsia="ru-RU"/>
        </w:rPr>
        <w:t>3.7настоящего положения, представляются: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копия акта о причиненных повреждениях;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копия справки органов исполнительной власти субъектов Российской Федерации или муниципальных образований, подтверждающих факт стихийных бедствий или других чрезвычайных ситуаций;</w:t>
      </w:r>
    </w:p>
    <w:p w:rsidR="00712F02" w:rsidRPr="00F802D3" w:rsidRDefault="00712F02" w:rsidP="004A3440">
      <w:pPr>
        <w:pStyle w:val="a3"/>
        <w:keepNext/>
        <w:keepLines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справка учреждения о стоимости нанесенного ущерба.</w:t>
      </w:r>
    </w:p>
    <w:p w:rsidR="00D00E72" w:rsidRDefault="00712F02" w:rsidP="00A33AE5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Оформленные в установленном порядке документы комиссия передает:</w:t>
      </w:r>
      <w:r w:rsidRPr="00F802D3">
        <w:rPr>
          <w:rFonts w:ascii="Times New Roman" w:hAnsi="Times New Roman"/>
          <w:sz w:val="24"/>
          <w:szCs w:val="24"/>
          <w:lang w:eastAsia="ru-RU"/>
        </w:rPr>
        <w:tab/>
      </w:r>
    </w:p>
    <w:p w:rsidR="00712F02" w:rsidRPr="00F802D3" w:rsidRDefault="00712F02" w:rsidP="00A33AE5">
      <w:pPr>
        <w:pStyle w:val="a3"/>
        <w:keepNext/>
        <w:keepLines/>
        <w:numPr>
          <w:ilvl w:val="1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rFonts w:ascii="Times New Roman" w:hAnsi="Times New Roman"/>
          <w:sz w:val="24"/>
          <w:szCs w:val="24"/>
          <w:lang w:eastAsia="ru-RU"/>
        </w:rPr>
        <w:t>- в бухгалтерию для отражения в учете;</w:t>
      </w:r>
    </w:p>
    <w:p w:rsidR="00712F02" w:rsidRPr="00F802D3" w:rsidRDefault="00712F02" w:rsidP="00A33AE5">
      <w:pPr>
        <w:pStyle w:val="a3"/>
        <w:keepNext/>
        <w:keepLines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2D3">
        <w:rPr>
          <w:sz w:val="24"/>
          <w:szCs w:val="24"/>
          <w:lang w:eastAsia="ru-RU"/>
        </w:rPr>
        <w:tab/>
      </w:r>
      <w:r w:rsidRPr="00F802D3">
        <w:rPr>
          <w:sz w:val="24"/>
          <w:szCs w:val="24"/>
          <w:lang w:eastAsia="ru-RU"/>
        </w:rPr>
        <w:tab/>
      </w:r>
      <w:r w:rsidRPr="00F802D3">
        <w:rPr>
          <w:sz w:val="24"/>
          <w:szCs w:val="24"/>
          <w:lang w:eastAsia="ru-RU"/>
        </w:rPr>
        <w:tab/>
      </w:r>
      <w:r w:rsidRPr="00F802D3">
        <w:rPr>
          <w:rFonts w:ascii="Times New Roman" w:hAnsi="Times New Roman"/>
          <w:sz w:val="24"/>
          <w:szCs w:val="24"/>
          <w:lang w:eastAsia="ru-RU"/>
        </w:rPr>
        <w:t>- учредителю.</w:t>
      </w:r>
    </w:p>
    <w:p w:rsidR="00F3017A" w:rsidRPr="00F802D3" w:rsidRDefault="00F3017A">
      <w:pPr>
        <w:pStyle w:val="a3"/>
        <w:keepNext/>
        <w:keepLines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F3017A" w:rsidRPr="00F802D3" w:rsidSect="00D25E15">
      <w:headerReference w:type="default" r:id="rId17"/>
      <w:pgSz w:w="11906" w:h="16838"/>
      <w:pgMar w:top="709" w:right="567" w:bottom="510" w:left="851" w:header="7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721" w:rsidRDefault="00873721" w:rsidP="00F3017A">
      <w:pPr>
        <w:spacing w:after="0" w:line="240" w:lineRule="auto"/>
      </w:pPr>
      <w:r>
        <w:separator/>
      </w:r>
    </w:p>
  </w:endnote>
  <w:endnote w:type="continuationSeparator" w:id="0">
    <w:p w:rsidR="00873721" w:rsidRDefault="00873721" w:rsidP="00F30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721" w:rsidRDefault="00873721" w:rsidP="00F3017A">
      <w:pPr>
        <w:spacing w:after="0" w:line="240" w:lineRule="auto"/>
      </w:pPr>
      <w:r>
        <w:separator/>
      </w:r>
    </w:p>
  </w:footnote>
  <w:footnote w:type="continuationSeparator" w:id="0">
    <w:p w:rsidR="00873721" w:rsidRDefault="00873721" w:rsidP="00F30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7A" w:rsidRDefault="00820D28">
    <w:pPr>
      <w:pStyle w:val="a6"/>
      <w:jc w:val="center"/>
    </w:pPr>
    <w:r>
      <w:fldChar w:fldCharType="begin"/>
    </w:r>
    <w:r w:rsidR="00F3017A">
      <w:instrText>PAGE   \* MERGEFORMAT</w:instrText>
    </w:r>
    <w:r>
      <w:fldChar w:fldCharType="separate"/>
    </w:r>
    <w:r w:rsidR="00D25E15">
      <w:rPr>
        <w:noProof/>
      </w:rPr>
      <w:t>2</w:t>
    </w:r>
    <w:r>
      <w:fldChar w:fldCharType="end"/>
    </w:r>
  </w:p>
  <w:p w:rsidR="00F3017A" w:rsidRDefault="00F301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EBE"/>
    <w:multiLevelType w:val="hybridMultilevel"/>
    <w:tmpl w:val="0B7CDBB6"/>
    <w:lvl w:ilvl="0" w:tplc="DBDC4594">
      <w:start w:val="1"/>
      <w:numFmt w:val="bullet"/>
      <w:lvlText w:val="−"/>
      <w:lvlJc w:val="left"/>
      <w:pPr>
        <w:ind w:left="9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BFF7943"/>
    <w:multiLevelType w:val="hybridMultilevel"/>
    <w:tmpl w:val="AF40B264"/>
    <w:lvl w:ilvl="0" w:tplc="DBDC4594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4F319D"/>
    <w:multiLevelType w:val="hybridMultilevel"/>
    <w:tmpl w:val="4022EAB8"/>
    <w:lvl w:ilvl="0" w:tplc="00000005">
      <w:start w:val="1"/>
      <w:numFmt w:val="bullet"/>
      <w:lvlText w:val="−"/>
      <w:lvlJc w:val="left"/>
      <w:pPr>
        <w:ind w:left="360" w:hanging="360"/>
      </w:pPr>
      <w:rPr>
        <w:rFonts w:ascii="Calibri" w:hAnsi="Calibri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EC0678"/>
    <w:multiLevelType w:val="hybridMultilevel"/>
    <w:tmpl w:val="B992919A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A5D36"/>
    <w:multiLevelType w:val="hybridMultilevel"/>
    <w:tmpl w:val="469889E2"/>
    <w:lvl w:ilvl="0" w:tplc="DBDC4594">
      <w:start w:val="1"/>
      <w:numFmt w:val="bullet"/>
      <w:lvlText w:val="−"/>
      <w:lvlJc w:val="left"/>
      <w:pPr>
        <w:ind w:left="9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7E17A7F"/>
    <w:multiLevelType w:val="hybridMultilevel"/>
    <w:tmpl w:val="7ADA610C"/>
    <w:lvl w:ilvl="0" w:tplc="DBDC4594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40009B9"/>
    <w:multiLevelType w:val="hybridMultilevel"/>
    <w:tmpl w:val="47747B92"/>
    <w:lvl w:ilvl="0" w:tplc="DBDC4594">
      <w:start w:val="1"/>
      <w:numFmt w:val="bullet"/>
      <w:lvlText w:val="−"/>
      <w:lvlJc w:val="left"/>
      <w:pPr>
        <w:ind w:left="9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40A66DB"/>
    <w:multiLevelType w:val="hybridMultilevel"/>
    <w:tmpl w:val="75302D96"/>
    <w:lvl w:ilvl="0" w:tplc="DBDC4594">
      <w:start w:val="1"/>
      <w:numFmt w:val="bullet"/>
      <w:lvlText w:val="−"/>
      <w:lvlJc w:val="left"/>
      <w:pPr>
        <w:ind w:left="9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4A683476"/>
    <w:multiLevelType w:val="multilevel"/>
    <w:tmpl w:val="8D66F3E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A777A15"/>
    <w:multiLevelType w:val="hybridMultilevel"/>
    <w:tmpl w:val="701659A4"/>
    <w:lvl w:ilvl="0" w:tplc="00000005">
      <w:start w:val="1"/>
      <w:numFmt w:val="bullet"/>
      <w:lvlText w:val="−"/>
      <w:lvlJc w:val="left"/>
      <w:pPr>
        <w:ind w:left="720" w:hanging="360"/>
      </w:pPr>
      <w:rPr>
        <w:rFonts w:ascii="Calibri" w:hAnsi="Calibri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05F00"/>
    <w:multiLevelType w:val="hybridMultilevel"/>
    <w:tmpl w:val="A072AD48"/>
    <w:lvl w:ilvl="0" w:tplc="DBDC4594">
      <w:start w:val="1"/>
      <w:numFmt w:val="bullet"/>
      <w:lvlText w:val="−"/>
      <w:lvlJc w:val="left"/>
      <w:pPr>
        <w:ind w:left="9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5F417B5C"/>
    <w:multiLevelType w:val="multilevel"/>
    <w:tmpl w:val="9050EDE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0A86973"/>
    <w:multiLevelType w:val="hybridMultilevel"/>
    <w:tmpl w:val="6D280092"/>
    <w:lvl w:ilvl="0" w:tplc="00000005">
      <w:start w:val="1"/>
      <w:numFmt w:val="bullet"/>
      <w:lvlText w:val="−"/>
      <w:lvlJc w:val="left"/>
      <w:pPr>
        <w:ind w:left="720" w:hanging="360"/>
      </w:pPr>
      <w:rPr>
        <w:rFonts w:ascii="Calibri" w:hAnsi="Calibri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C17799"/>
    <w:multiLevelType w:val="multilevel"/>
    <w:tmpl w:val="6D280092"/>
    <w:lvl w:ilvl="0">
      <w:start w:val="1"/>
      <w:numFmt w:val="bullet"/>
      <w:lvlText w:val="−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67384"/>
    <w:multiLevelType w:val="multilevel"/>
    <w:tmpl w:val="9FC24A50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6F864642"/>
    <w:multiLevelType w:val="hybridMultilevel"/>
    <w:tmpl w:val="3DFEAF58"/>
    <w:lvl w:ilvl="0" w:tplc="DBDC4594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29F1A30"/>
    <w:multiLevelType w:val="hybridMultilevel"/>
    <w:tmpl w:val="C1508EEE"/>
    <w:lvl w:ilvl="0" w:tplc="DBDC4594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15"/>
  </w:num>
  <w:num w:numId="10">
    <w:abstractNumId w:val="16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8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23"/>
    <w:rsid w:val="0000545A"/>
    <w:rsid w:val="00046728"/>
    <w:rsid w:val="0005706C"/>
    <w:rsid w:val="000B1A2A"/>
    <w:rsid w:val="000D109B"/>
    <w:rsid w:val="000E2231"/>
    <w:rsid w:val="000E6BC8"/>
    <w:rsid w:val="000E7CDD"/>
    <w:rsid w:val="000F6C5A"/>
    <w:rsid w:val="00115A5B"/>
    <w:rsid w:val="0017740B"/>
    <w:rsid w:val="001A0739"/>
    <w:rsid w:val="001A75A9"/>
    <w:rsid w:val="001B7A53"/>
    <w:rsid w:val="001C131F"/>
    <w:rsid w:val="001D3B19"/>
    <w:rsid w:val="001E138A"/>
    <w:rsid w:val="00245159"/>
    <w:rsid w:val="00255B01"/>
    <w:rsid w:val="002638DE"/>
    <w:rsid w:val="002A647C"/>
    <w:rsid w:val="002B215F"/>
    <w:rsid w:val="00305514"/>
    <w:rsid w:val="00307F00"/>
    <w:rsid w:val="00352BCC"/>
    <w:rsid w:val="00397B6E"/>
    <w:rsid w:val="003E61B5"/>
    <w:rsid w:val="003F03F5"/>
    <w:rsid w:val="00441615"/>
    <w:rsid w:val="0048290E"/>
    <w:rsid w:val="00484358"/>
    <w:rsid w:val="00486870"/>
    <w:rsid w:val="004A3440"/>
    <w:rsid w:val="004A34BB"/>
    <w:rsid w:val="004A5FF8"/>
    <w:rsid w:val="004B7A5E"/>
    <w:rsid w:val="004C1412"/>
    <w:rsid w:val="004C716B"/>
    <w:rsid w:val="00513868"/>
    <w:rsid w:val="005652F6"/>
    <w:rsid w:val="00582312"/>
    <w:rsid w:val="005920E6"/>
    <w:rsid w:val="005A698E"/>
    <w:rsid w:val="005C720F"/>
    <w:rsid w:val="00620624"/>
    <w:rsid w:val="00691C37"/>
    <w:rsid w:val="006926DE"/>
    <w:rsid w:val="00694BAE"/>
    <w:rsid w:val="006C5788"/>
    <w:rsid w:val="006D29A4"/>
    <w:rsid w:val="00712F02"/>
    <w:rsid w:val="007317E5"/>
    <w:rsid w:val="007351D4"/>
    <w:rsid w:val="00744863"/>
    <w:rsid w:val="00764149"/>
    <w:rsid w:val="0079141C"/>
    <w:rsid w:val="00796F3B"/>
    <w:rsid w:val="008042F5"/>
    <w:rsid w:val="0081171D"/>
    <w:rsid w:val="00820D28"/>
    <w:rsid w:val="00854FF1"/>
    <w:rsid w:val="00873721"/>
    <w:rsid w:val="0089345A"/>
    <w:rsid w:val="008E0798"/>
    <w:rsid w:val="009244E6"/>
    <w:rsid w:val="00967243"/>
    <w:rsid w:val="0098104D"/>
    <w:rsid w:val="009912AE"/>
    <w:rsid w:val="009B03A8"/>
    <w:rsid w:val="00A16469"/>
    <w:rsid w:val="00A253BA"/>
    <w:rsid w:val="00A2708A"/>
    <w:rsid w:val="00A276A3"/>
    <w:rsid w:val="00A33AE5"/>
    <w:rsid w:val="00A47A92"/>
    <w:rsid w:val="00A529FF"/>
    <w:rsid w:val="00A56228"/>
    <w:rsid w:val="00A74169"/>
    <w:rsid w:val="00A86F3E"/>
    <w:rsid w:val="00A94E6F"/>
    <w:rsid w:val="00AA5159"/>
    <w:rsid w:val="00AB1BF3"/>
    <w:rsid w:val="00AB5333"/>
    <w:rsid w:val="00AC084F"/>
    <w:rsid w:val="00B200F7"/>
    <w:rsid w:val="00B20114"/>
    <w:rsid w:val="00B27794"/>
    <w:rsid w:val="00B74303"/>
    <w:rsid w:val="00BC35B3"/>
    <w:rsid w:val="00BD23B1"/>
    <w:rsid w:val="00BF49AB"/>
    <w:rsid w:val="00C028AD"/>
    <w:rsid w:val="00C80512"/>
    <w:rsid w:val="00C8222C"/>
    <w:rsid w:val="00C87C83"/>
    <w:rsid w:val="00C91565"/>
    <w:rsid w:val="00C95BEF"/>
    <w:rsid w:val="00CA0C61"/>
    <w:rsid w:val="00CA45E8"/>
    <w:rsid w:val="00CB242A"/>
    <w:rsid w:val="00CB35DA"/>
    <w:rsid w:val="00D00E72"/>
    <w:rsid w:val="00D01594"/>
    <w:rsid w:val="00D07965"/>
    <w:rsid w:val="00D25E15"/>
    <w:rsid w:val="00D430C8"/>
    <w:rsid w:val="00D52123"/>
    <w:rsid w:val="00DD4F22"/>
    <w:rsid w:val="00E11963"/>
    <w:rsid w:val="00E35E05"/>
    <w:rsid w:val="00E600D2"/>
    <w:rsid w:val="00EA566E"/>
    <w:rsid w:val="00EB1E33"/>
    <w:rsid w:val="00EC3532"/>
    <w:rsid w:val="00EE3F96"/>
    <w:rsid w:val="00EF3725"/>
    <w:rsid w:val="00EF4D31"/>
    <w:rsid w:val="00F03543"/>
    <w:rsid w:val="00F3017A"/>
    <w:rsid w:val="00F66509"/>
    <w:rsid w:val="00F802D3"/>
    <w:rsid w:val="00F973A1"/>
    <w:rsid w:val="00FA2172"/>
    <w:rsid w:val="00FA6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4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72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6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6414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301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3017A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F301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3017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4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72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6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6414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301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3017A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F301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3017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A9B067901FCA587489FCC87F9157A4C3CBE80362205EFF0C076F2457AD85229C0DF0F263A2D833D6Du6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A9B067901FCA587489FCC87F9157A4C3CBE80362205EFF0C076F2457AD85229C0DF0F263A2D823E6Du1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9B067901FCA587489FCC87F9157A4C3EBD803C250FB2FAC82FFE4767u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B067901FCA587489FCC87F9157A4C3CBE80362205EFF0C076F2457AD85229C0DF0F263A2C80396Du7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A9B067901FCA587489FCC87F9157A4C3CBE80382404EFF0C076F2457AD85229C0DF0F263A2C83306Du5J" TargetMode="External"/><Relationship Id="rId10" Type="http://schemas.openxmlformats.org/officeDocument/2006/relationships/hyperlink" Target="consultantplus://offline/ref=3A9B067901FCA587489FCC87F9157A4C3FBD843A240FB2FAC82FFE4767uD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A9B067901FCA587489FCC87F9157A4C3CBE80382404EFF0C076F2457AD85229C0DF0F263A2C83306Du5J" TargetMode="External"/><Relationship Id="rId14" Type="http://schemas.openxmlformats.org/officeDocument/2006/relationships/hyperlink" Target="consultantplus://offline/ref=3A9B067901FCA587489FCC87F9157A4C3CB785382A52B8F29123FC4072881A398E9A02273A2F68u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9589E-4C2C-4DC4-8982-D1E12504D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2748</Words>
  <Characters>15668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Анна</cp:lastModifiedBy>
  <cp:revision>5</cp:revision>
  <cp:lastPrinted>2025-01-17T12:29:00Z</cp:lastPrinted>
  <dcterms:created xsi:type="dcterms:W3CDTF">2025-01-17T09:55:00Z</dcterms:created>
  <dcterms:modified xsi:type="dcterms:W3CDTF">2025-01-17T12:30:00Z</dcterms:modified>
</cp:coreProperties>
</file>